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688CE">
      <w:pPr>
        <w:pStyle w:val="2"/>
      </w:pPr>
      <w:bookmarkStart w:id="0" w:name="privacy-policy"/>
      <w:r>
        <w:t>Privacy Policy</w:t>
      </w:r>
    </w:p>
    <w:p w14:paraId="16416848">
      <w:pPr>
        <w:pStyle w:val="23"/>
      </w:pPr>
      <w:r>
        <w:rPr>
          <w:b/>
          <w:bCs/>
        </w:rPr>
        <w:t>Last updated: 1</w:t>
      </w:r>
      <w:r>
        <w:rPr>
          <w:rFonts w:hint="default"/>
          <w:b/>
          <w:bCs/>
          <w:lang w:val="en-US"/>
        </w:rPr>
        <w:t>3</w:t>
      </w:r>
      <w:r>
        <w:rPr>
          <w:b/>
          <w:bCs/>
        </w:rPr>
        <w:t>th January 2026</w:t>
      </w:r>
    </w:p>
    <w:p w14:paraId="2A7F4C8D">
      <w:pPr>
        <w:pStyle w:val="4"/>
      </w:pPr>
      <w:bookmarkStart w:id="1" w:name="who-we-are"/>
      <w:r>
        <w:t>1. Who We Are</w:t>
      </w:r>
    </w:p>
    <w:p w14:paraId="5B368C99">
      <w:pPr>
        <w:pStyle w:val="23"/>
      </w:pPr>
      <w:r>
        <w:t xml:space="preserve">Switch For Sport Ltd (“we”, “us”, “our”) operates </w:t>
      </w:r>
      <w:r>
        <w:fldChar w:fldCharType="begin"/>
      </w:r>
      <w:r>
        <w:instrText xml:space="preserve"> HYPERLINK "http://www.switchforsport.co.uk" \h </w:instrText>
      </w:r>
      <w:r>
        <w:fldChar w:fldCharType="separate"/>
      </w:r>
      <w:r>
        <w:rPr>
          <w:rStyle w:val="20"/>
        </w:rPr>
        <w:t>www.switchforsport.co.uk</w:t>
      </w:r>
      <w:r>
        <w:rPr>
          <w:rStyle w:val="20"/>
        </w:rPr>
        <w:fldChar w:fldCharType="end"/>
      </w:r>
      <w:r>
        <w:t xml:space="preserve"> and complies with the UK General Data Protection Regulation (UK GDPR) and the Data Protection Act 2018.</w:t>
      </w:r>
    </w:p>
    <w:bookmarkEnd w:id="1"/>
    <w:p w14:paraId="54794393">
      <w:pPr>
        <w:pStyle w:val="4"/>
      </w:pPr>
      <w:bookmarkStart w:id="2" w:name="data-we-collect"/>
      <w:r>
        <w:t>2. Data We Collect</w:t>
      </w:r>
    </w:p>
    <w:p w14:paraId="507AB72C">
      <w:pPr>
        <w:pStyle w:val="23"/>
      </w:pPr>
      <w:r>
        <w:t>We collect personal data relating to sports clubs and their representatives, including:</w:t>
      </w:r>
      <w:r>
        <w:br w:type="textWrapping"/>
      </w:r>
      <w:r>
        <w:t>* Names and contact details (email addresses, phone numbers)</w:t>
      </w:r>
      <w:r>
        <w:br w:type="textWrapping"/>
      </w:r>
      <w:r>
        <w:t>* Bank or payment-related information where required</w:t>
      </w:r>
      <w:r>
        <w:br w:type="textWrapping"/>
      </w:r>
      <w:r>
        <w:t>* Club registration or identification details</w:t>
      </w:r>
    </w:p>
    <w:p w14:paraId="41CD122B">
      <w:pPr>
        <w:pStyle w:val="3"/>
      </w:pPr>
      <w:r>
        <w:t>We do not collect personal data directly from individual end users who switch services; their data is processed by our commercial partners.</w:t>
      </w:r>
    </w:p>
    <w:p w14:paraId="7BF2DD52">
      <w:pPr>
        <w:pStyle w:val="3"/>
      </w:pPr>
      <w:r>
        <w:t>Website visitors may also generate technical data such as IP address, browser type, and usage data through cookies or analytics tools.</w:t>
      </w:r>
    </w:p>
    <w:bookmarkEnd w:id="2"/>
    <w:p w14:paraId="199F8142">
      <w:pPr>
        <w:pStyle w:val="4"/>
      </w:pPr>
      <w:bookmarkStart w:id="3" w:name="statutory-or-contractual-obligations"/>
      <w:r>
        <w:t>3. Statutory or Contractual Obligations</w:t>
      </w:r>
    </w:p>
    <w:p w14:paraId="772A35F3">
      <w:pPr>
        <w:pStyle w:val="23"/>
      </w:pPr>
      <w:r>
        <w:t>Certain personal data is required for us to fulfil contractual obligations with sports clubs and partners, or to meet legal requirements. If this required data is not provided, we may not be able to provide our services or complete contractual arrangements.</w:t>
      </w:r>
    </w:p>
    <w:p w14:paraId="540F049A">
      <w:pPr>
        <w:pStyle w:val="3"/>
      </w:pPr>
      <w:r>
        <w:rPr>
          <w:b/>
          <w:bCs/>
        </w:rPr>
        <w:t>Required data includes:</w:t>
      </w:r>
      <w:r>
        <w:br w:type="textWrapping"/>
      </w:r>
      <w:r>
        <w:t xml:space="preserve">* </w:t>
      </w:r>
      <w:r>
        <w:rPr>
          <w:b/>
          <w:bCs/>
        </w:rPr>
        <w:t>Names and contact details of club representatives</w:t>
      </w:r>
      <w:r>
        <w:t xml:space="preserve"> – needed to manage partnerships, communicate operational updates, and administer services</w:t>
      </w:r>
      <w:r>
        <w:br w:type="textWrapping"/>
      </w:r>
      <w:r>
        <w:t xml:space="preserve">* </w:t>
      </w:r>
      <w:r>
        <w:rPr>
          <w:b/>
          <w:bCs/>
        </w:rPr>
        <w:t>Bank or payment-related information</w:t>
      </w:r>
      <w:r>
        <w:t xml:space="preserve"> – required to process payments, donations, or other financial transactions</w:t>
      </w:r>
      <w:r>
        <w:br w:type="textWrapping"/>
      </w:r>
      <w:r>
        <w:t xml:space="preserve">* </w:t>
      </w:r>
      <w:r>
        <w:rPr>
          <w:b/>
          <w:bCs/>
        </w:rPr>
        <w:t>Club registration or identification information</w:t>
      </w:r>
      <w:r>
        <w:t xml:space="preserve"> – necessary for compliance with regulatory or legal obligations</w:t>
      </w:r>
    </w:p>
    <w:p w14:paraId="5E305563">
      <w:pPr>
        <w:pStyle w:val="3"/>
      </w:pPr>
      <w:r>
        <w:rPr>
          <w:b/>
          <w:bCs/>
        </w:rPr>
        <w:t>Consequences of not providing required data:</w:t>
      </w:r>
      <w:r>
        <w:br w:type="textWrapping"/>
      </w:r>
      <w:r>
        <w:t>* We may be unable to establish or maintain a partnership with your club</w:t>
      </w:r>
      <w:r>
        <w:br w:type="textWrapping"/>
      </w:r>
      <w:r>
        <w:t>* We may be unable to process payments or donations</w:t>
      </w:r>
      <w:r>
        <w:br w:type="textWrapping"/>
      </w:r>
      <w:r>
        <w:t>* We may be unable to communicate important operational or service-related information</w:t>
      </w:r>
    </w:p>
    <w:p w14:paraId="62374A90">
      <w:pPr>
        <w:pStyle w:val="3"/>
      </w:pPr>
      <w:r>
        <w:t>Optional data, such as marketing preferences, may be provided at your discretion and is processed based on your consent.</w:t>
      </w:r>
    </w:p>
    <w:bookmarkEnd w:id="3"/>
    <w:p w14:paraId="5BCFBAEE">
      <w:pPr>
        <w:pStyle w:val="4"/>
      </w:pPr>
      <w:bookmarkStart w:id="4" w:name="how-we-use-club-data"/>
      <w:r>
        <w:t>4. How We Use Club Data</w:t>
      </w:r>
    </w:p>
    <w:p w14:paraId="0D3C7EE8">
      <w:pPr>
        <w:pStyle w:val="23"/>
      </w:pPr>
      <w:r>
        <w:t>We use personal data to:</w:t>
      </w:r>
      <w:r>
        <w:br w:type="textWrapping"/>
      </w:r>
      <w:r>
        <w:t>* Manage and administer partnerships with clubs</w:t>
      </w:r>
      <w:r>
        <w:br w:type="textWrapping"/>
      </w:r>
      <w:r>
        <w:t>* Process payments and donations</w:t>
      </w:r>
      <w:r>
        <w:br w:type="textWrapping"/>
      </w:r>
      <w:r>
        <w:t>* Communicate operational updates and service-related information</w:t>
      </w:r>
      <w:r>
        <w:br w:type="textWrapping"/>
      </w:r>
      <w:r>
        <w:t>* Provide newsletters and marketing communications where an opt-out is available</w:t>
      </w:r>
      <w:r>
        <w:br w:type="textWrapping"/>
      </w:r>
      <w:r>
        <w:t>* Improve our website, services, and user experience</w:t>
      </w:r>
    </w:p>
    <w:bookmarkEnd w:id="4"/>
    <w:p w14:paraId="3EB92CDB">
      <w:pPr>
        <w:pStyle w:val="4"/>
      </w:pPr>
      <w:bookmarkStart w:id="5" w:name="legal-basis-for-processing"/>
      <w:r>
        <w:t>5. Legal Basis for Processing</w:t>
      </w:r>
    </w:p>
    <w:p w14:paraId="459B728E">
      <w:pPr>
        <w:pStyle w:val="23"/>
      </w:pPr>
      <w:r>
        <w:t>We process personal data under the following lawful bases:</w:t>
      </w:r>
      <w:r>
        <w:br w:type="textWrapping"/>
      </w:r>
      <w:r>
        <w:t xml:space="preserve">* </w:t>
      </w:r>
      <w:r>
        <w:rPr>
          <w:b/>
          <w:bCs/>
        </w:rPr>
        <w:t>Contractual necessity</w:t>
      </w:r>
      <w:r>
        <w:t xml:space="preserve"> – where processing is required to fulfil our contractual obligations with clubs or partners</w:t>
      </w:r>
      <w:r>
        <w:br w:type="textWrapping"/>
      </w:r>
      <w:r>
        <w:t xml:space="preserve">* </w:t>
      </w:r>
      <w:r>
        <w:rPr>
          <w:b/>
          <w:bCs/>
        </w:rPr>
        <w:t>Consent</w:t>
      </w:r>
      <w:r>
        <w:t xml:space="preserve"> – where you have explicitly agreed to receive marketing communications</w:t>
      </w:r>
      <w:r>
        <w:br w:type="textWrapping"/>
      </w:r>
      <w:r>
        <w:t xml:space="preserve">* </w:t>
      </w:r>
      <w:r>
        <w:rPr>
          <w:b/>
          <w:bCs/>
        </w:rPr>
        <w:t>Legitimate interests</w:t>
      </w:r>
      <w:r>
        <w:t xml:space="preserve"> – where processing is necessary for our legitimate business purposes, provided those interests are not overridden by your rights and freedoms</w:t>
      </w:r>
    </w:p>
    <w:p w14:paraId="49699C99">
      <w:pPr>
        <w:pStyle w:val="5"/>
      </w:pPr>
      <w:bookmarkStart w:id="6" w:name="legitimate-interests"/>
      <w:r>
        <w:t>Legitimate Interests</w:t>
      </w:r>
    </w:p>
    <w:p w14:paraId="37066603">
      <w:pPr>
        <w:pStyle w:val="23"/>
      </w:pPr>
      <w:r>
        <w:t>Where we rely on legitimate interests as our lawful basis under Article 6(1)(f) UK GDPR, those interests include:</w:t>
      </w:r>
      <w:r>
        <w:br w:type="textWrapping"/>
      </w:r>
      <w:r>
        <w:t>* Managing and maintaining effective relationships with sports clubs and partners</w:t>
      </w:r>
      <w:r>
        <w:br w:type="textWrapping"/>
      </w:r>
      <w:r>
        <w:t>* Communicating important operational, service, or administrative information</w:t>
      </w:r>
      <w:r>
        <w:br w:type="textWrapping"/>
      </w:r>
      <w:r>
        <w:t>* Processing payments, financial records, and basic accounting activities</w:t>
      </w:r>
      <w:r>
        <w:br w:type="textWrapping"/>
      </w:r>
      <w:r>
        <w:t>* Preventing fraud and ensuring the security of our systems and services</w:t>
      </w:r>
      <w:r>
        <w:br w:type="textWrapping"/>
      </w:r>
      <w:r>
        <w:t>* Improving our services, business processes, and website functionality</w:t>
      </w:r>
      <w:r>
        <w:br w:type="textWrapping"/>
      </w:r>
      <w:r>
        <w:t>* Promoting our services to existing contacts in a proportionate and expected manner (for example, business-to-business communications), where individuals can easily object or opt out</w:t>
      </w:r>
    </w:p>
    <w:p w14:paraId="22C09363">
      <w:pPr>
        <w:pStyle w:val="3"/>
      </w:pPr>
      <w:r>
        <w:t>We carefully consider and balance our legitimate interests against the potential impact on individuals’ rights and freedoms. You have the right to object to processing based on legitimate interests at any time.</w:t>
      </w:r>
    </w:p>
    <w:bookmarkEnd w:id="5"/>
    <w:bookmarkEnd w:id="6"/>
    <w:p w14:paraId="1C54991F">
      <w:pPr>
        <w:pStyle w:val="4"/>
      </w:pPr>
      <w:bookmarkStart w:id="7" w:name="X80c66898a8ff41a707622ea66c697fa0f90aea8"/>
      <w:r>
        <w:t>6. Data Sharing and Recipients of Personal Data</w:t>
      </w:r>
    </w:p>
    <w:p w14:paraId="5900EFCE">
      <w:pPr>
        <w:pStyle w:val="23"/>
      </w:pPr>
      <w:r>
        <w:t>We do not sell or rent personal data. However, we may share limited personal data with the following recipients where necessary for the operation of our services and business:</w:t>
      </w:r>
      <w:r>
        <w:br w:type="textWrapping"/>
      </w:r>
      <w:r>
        <w:t xml:space="preserve">* </w:t>
      </w:r>
      <w:r>
        <w:rPr>
          <w:b/>
          <w:bCs/>
        </w:rPr>
        <w:t>Mortgage and insurance service provider</w:t>
      </w:r>
      <w:r>
        <w:t xml:space="preserve"> – </w:t>
      </w:r>
      <w:r>
        <w:rPr>
          <w:b/>
          <w:bCs/>
        </w:rPr>
        <w:t>313 Financial Ltd</w:t>
      </w:r>
      <w:r>
        <w:t>, a regulated mortgage and insurance business. Personal data may be shared where individuals express an interest in, or request support with, mortgage or insurance products.</w:t>
      </w:r>
      <w:r>
        <w:br w:type="textWrapping"/>
      </w:r>
      <w:r>
        <w:t xml:space="preserve">* </w:t>
      </w:r>
      <w:r>
        <w:rPr>
          <w:b/>
          <w:bCs/>
        </w:rPr>
        <w:t>Comparison and switching service providers</w:t>
      </w:r>
      <w:r>
        <w:t xml:space="preserve"> – including </w:t>
      </w:r>
      <w:r>
        <w:rPr>
          <w:b/>
          <w:bCs/>
          <w:lang w:val="en-US" w:eastAsia="zh-CN"/>
        </w:rPr>
        <w:t>UK Web Media Limited (company number 04388827</w:t>
      </w:r>
      <w:r>
        <w:rPr>
          <w:lang w:val="en-US" w:eastAsia="zh-CN"/>
        </w:rPr>
        <w:t>)</w:t>
      </w:r>
      <w:r>
        <w:rPr>
          <w:rFonts w:hint="default"/>
          <w:lang w:val="en-US" w:eastAsia="zh-CN"/>
        </w:rPr>
        <w:t xml:space="preserve"> </w:t>
      </w:r>
      <w:r>
        <w:t xml:space="preserve">and </w:t>
      </w:r>
      <w:r>
        <w:rPr>
          <w:b/>
          <w:bCs/>
        </w:rPr>
        <w:t>Energy Services Online Limited</w:t>
      </w:r>
      <w:r>
        <w:t>, where data sharing is required to facilitate switching services, partnerships, or related operational activities.</w:t>
      </w:r>
      <w:r>
        <w:br w:type="textWrapping"/>
      </w:r>
      <w:r>
        <w:t xml:space="preserve">* </w:t>
      </w:r>
      <w:r>
        <w:rPr>
          <w:b/>
          <w:bCs/>
        </w:rPr>
        <w:t>IT and system service providers</w:t>
      </w:r>
      <w:r>
        <w:t xml:space="preserve"> – in</w:t>
      </w:r>
      <w:bookmarkStart w:id="19" w:name="_GoBack"/>
      <w:bookmarkEnd w:id="19"/>
      <w:r>
        <w:t>cluding website hosting providers, cloud storage providers, and email service platforms that support our business operations.</w:t>
      </w:r>
      <w:r>
        <w:br w:type="textWrapping"/>
      </w:r>
      <w:r>
        <w:t xml:space="preserve">* </w:t>
      </w:r>
      <w:r>
        <w:rPr>
          <w:b/>
          <w:bCs/>
        </w:rPr>
        <w:t>Marketing and communications platforms</w:t>
      </w:r>
      <w:r>
        <w:t xml:space="preserve"> – used to send newsletters or service-related communications, where recipients have not opted out.</w:t>
      </w:r>
      <w:r>
        <w:br w:type="textWrapping"/>
      </w:r>
      <w:r>
        <w:t xml:space="preserve">* </w:t>
      </w:r>
      <w:r>
        <w:rPr>
          <w:b/>
          <w:bCs/>
        </w:rPr>
        <w:t>Analytics and website service providers</w:t>
      </w:r>
      <w:r>
        <w:t xml:space="preserve"> – to help us understand how our website is used and improve performance.</w:t>
      </w:r>
      <w:r>
        <w:br w:type="textWrapping"/>
      </w:r>
      <w:r>
        <w:t xml:space="preserve">* </w:t>
      </w:r>
      <w:r>
        <w:rPr>
          <w:b/>
          <w:bCs/>
        </w:rPr>
        <w:t>Professional advisers</w:t>
      </w:r>
      <w:r>
        <w:t xml:space="preserve"> – such as accountants, auditors, legal advisers, or insurers where necessary for compliance, financial management, or the establishment, exercise, or defence of legal claims.</w:t>
      </w:r>
    </w:p>
    <w:p w14:paraId="418A3191">
      <w:pPr>
        <w:pStyle w:val="5"/>
      </w:pPr>
      <w:bookmarkStart w:id="8" w:name="legal-and-regulatory-disclosure"/>
      <w:r>
        <w:t>Legal and Regulatory Disclosure</w:t>
      </w:r>
    </w:p>
    <w:p w14:paraId="50D476A9">
      <w:pPr>
        <w:pStyle w:val="23"/>
      </w:pPr>
      <w:r>
        <w:t>We may also disclose personal data to regulators, law enforcement agencies, or public authorities where required by law or to protect our legal rights.</w:t>
      </w:r>
    </w:p>
    <w:p w14:paraId="14C6A866">
      <w:pPr>
        <w:pStyle w:val="3"/>
      </w:pPr>
      <w:r>
        <w:t>All third parties that process personal data on our behalf are required to implement appropriate technical and organisational measures to protect personal data and may only process it in accordance with our instructions and applicable data protection law.</w:t>
      </w:r>
    </w:p>
    <w:bookmarkEnd w:id="7"/>
    <w:bookmarkEnd w:id="8"/>
    <w:p w14:paraId="6A4B60A9">
      <w:pPr>
        <w:pStyle w:val="4"/>
      </w:pPr>
      <w:bookmarkStart w:id="9" w:name="data-retention"/>
      <w:r>
        <w:t>7. Data Retention</w:t>
      </w:r>
    </w:p>
    <w:p w14:paraId="4B68D9DA">
      <w:pPr>
        <w:pStyle w:val="23"/>
      </w:pPr>
      <w:r>
        <w:t>We retain club data for the duration of the partnership and for up to six years thereafter where required for accounting, legal, or regulatory purposes.</w:t>
      </w:r>
    </w:p>
    <w:bookmarkEnd w:id="9"/>
    <w:p w14:paraId="7BDF089C">
      <w:pPr>
        <w:pStyle w:val="4"/>
      </w:pPr>
      <w:bookmarkStart w:id="10" w:name="your-data-protection-rights"/>
      <w:r>
        <w:t>8. Your Data Protection Rights</w:t>
      </w:r>
    </w:p>
    <w:p w14:paraId="51727DC7">
      <w:pPr>
        <w:pStyle w:val="23"/>
      </w:pPr>
      <w:r>
        <w:t>Under the UK GDPR, individuals have the following rights in relation to how we process their personal data. The availability of some rights depends on the lawful basis we rely on for processing.</w:t>
      </w:r>
    </w:p>
    <w:p w14:paraId="6D33B3AE">
      <w:pPr>
        <w:pStyle w:val="5"/>
      </w:pPr>
      <w:bookmarkStart w:id="11" w:name="your-rights"/>
      <w:r>
        <w:t>Your Rights</w:t>
      </w:r>
    </w:p>
    <w:p w14:paraId="35325B3F">
      <w:pPr>
        <w:pStyle w:val="23"/>
      </w:pPr>
      <w:r>
        <w:t>You have the right to:</w:t>
      </w:r>
      <w:r>
        <w:br w:type="textWrapping"/>
      </w:r>
      <w:r>
        <w:t xml:space="preserve">* </w:t>
      </w:r>
      <w:r>
        <w:rPr>
          <w:b/>
          <w:bCs/>
        </w:rPr>
        <w:t>Access</w:t>
      </w:r>
      <w:r>
        <w:t xml:space="preserve"> – request a copy of the personal data we hold about you</w:t>
      </w:r>
      <w:r>
        <w:br w:type="textWrapping"/>
      </w:r>
      <w:r>
        <w:t xml:space="preserve">* </w:t>
      </w:r>
      <w:r>
        <w:rPr>
          <w:b/>
          <w:bCs/>
        </w:rPr>
        <w:t>Rectification</w:t>
      </w:r>
      <w:r>
        <w:t xml:space="preserve"> – request correction of inaccurate or incomplete personal data</w:t>
      </w:r>
      <w:r>
        <w:br w:type="textWrapping"/>
      </w:r>
      <w:r>
        <w:t xml:space="preserve">* </w:t>
      </w:r>
      <w:r>
        <w:rPr>
          <w:b/>
          <w:bCs/>
        </w:rPr>
        <w:t>Erasure</w:t>
      </w:r>
      <w:r>
        <w:t xml:space="preserve"> – request deletion of your personal data where there is no lawful reason for us to continue processing it</w:t>
      </w:r>
      <w:r>
        <w:br w:type="textWrapping"/>
      </w:r>
      <w:r>
        <w:t xml:space="preserve">* </w:t>
      </w:r>
      <w:r>
        <w:rPr>
          <w:b/>
          <w:bCs/>
        </w:rPr>
        <w:t>Restriction</w:t>
      </w:r>
      <w:r>
        <w:t xml:space="preserve"> – request that we limit how we use your personal data in certain circumstances</w:t>
      </w:r>
      <w:r>
        <w:br w:type="textWrapping"/>
      </w:r>
      <w:r>
        <w:t xml:space="preserve">* </w:t>
      </w:r>
      <w:r>
        <w:rPr>
          <w:b/>
          <w:bCs/>
        </w:rPr>
        <w:t>Data portability</w:t>
      </w:r>
      <w:r>
        <w:t xml:space="preserve"> – receive personal data you have provided to us in a structured, commonly used, and machine-readable format, where processing is based on consent or contract</w:t>
      </w:r>
      <w:r>
        <w:br w:type="textWrapping"/>
      </w:r>
      <w:r>
        <w:t xml:space="preserve">* </w:t>
      </w:r>
      <w:r>
        <w:rPr>
          <w:b/>
          <w:bCs/>
        </w:rPr>
        <w:t>Withdraw consent</w:t>
      </w:r>
      <w:r>
        <w:t xml:space="preserve"> – where we rely on consent, you can withdraw it at any time (see below for details)</w:t>
      </w:r>
    </w:p>
    <w:bookmarkEnd w:id="11"/>
    <w:p w14:paraId="3A2AF1C8">
      <w:pPr>
        <w:pStyle w:val="5"/>
      </w:pPr>
      <w:bookmarkStart w:id="12" w:name="right-to-withdraw-consent"/>
      <w:r>
        <w:t>Right to Withdraw Consent</w:t>
      </w:r>
    </w:p>
    <w:p w14:paraId="759D5EE5">
      <w:pPr>
        <w:pStyle w:val="23"/>
      </w:pPr>
      <w:r>
        <w:t>You have the right to withdraw your consent for the processing of your personal data at any time. Withdrawing your consent will not affect the lawfulness of any processing carried out before you withdrew it.</w:t>
      </w:r>
    </w:p>
    <w:p w14:paraId="14FBFD33">
      <w:pPr>
        <w:pStyle w:val="3"/>
      </w:pPr>
      <w:r>
        <w:rPr>
          <w:b/>
          <w:bCs/>
        </w:rPr>
        <w:t>How to withdraw consent:</w:t>
      </w:r>
      <w:r>
        <w:br w:type="textWrapping"/>
      </w:r>
      <w:r>
        <w:t xml:space="preserve">* </w:t>
      </w:r>
      <w:r>
        <w:rPr>
          <w:b/>
          <w:bCs/>
        </w:rPr>
        <w:t>Marketing communications</w:t>
      </w:r>
      <w:r>
        <w:t xml:space="preserve"> – You can opt out of receiving marketing emails, newsletters, or other communications by clicking the “unsubscribe” link included in all such messages.</w:t>
      </w:r>
      <w:r>
        <w:br w:type="textWrapping"/>
      </w:r>
      <w:r>
        <w:t xml:space="preserve">* </w:t>
      </w:r>
      <w:r>
        <w:rPr>
          <w:b/>
          <w:bCs/>
        </w:rPr>
        <w:t>Other uses of your data</w:t>
      </w:r>
      <w:r>
        <w:t xml:space="preserve"> – You can contact us directly to withdraw your consent for other types of processing. Please send your request to:</w:t>
      </w:r>
    </w:p>
    <w:p w14:paraId="5CDB2981">
      <w:pPr>
        <w:pStyle w:val="3"/>
      </w:pPr>
      <w:r>
        <w:rPr>
          <w:b/>
          <w:bCs/>
        </w:rPr>
        <w:t>Data Protection Contact:</w:t>
      </w:r>
      <w:r>
        <w:br w:type="textWrapping"/>
      </w:r>
      <w:r>
        <w:t xml:space="preserve">Email: </w:t>
      </w:r>
      <w:r>
        <w:fldChar w:fldCharType="begin"/>
      </w:r>
      <w:r>
        <w:instrText xml:space="preserve"> HYPERLINK "mailto:info@switchforsport.co.uk" \h </w:instrText>
      </w:r>
      <w:r>
        <w:fldChar w:fldCharType="separate"/>
      </w:r>
      <w:r>
        <w:rPr>
          <w:rStyle w:val="20"/>
        </w:rPr>
        <w:t>info@switchforsport.co.uk</w:t>
      </w:r>
      <w:r>
        <w:rPr>
          <w:rStyle w:val="20"/>
        </w:rPr>
        <w:fldChar w:fldCharType="end"/>
      </w:r>
      <w:r>
        <w:br w:type="textWrapping"/>
      </w:r>
    </w:p>
    <w:p w14:paraId="3A5DB2AA">
      <w:pPr>
        <w:pStyle w:val="3"/>
      </w:pPr>
      <w:r>
        <w:t>We will process your withdrawal request promptly, and your personal data will no longer be used for the purposes for which you have withdrawn consent.</w:t>
      </w:r>
    </w:p>
    <w:bookmarkEnd w:id="12"/>
    <w:p w14:paraId="16EB4002">
      <w:pPr>
        <w:pStyle w:val="5"/>
      </w:pPr>
      <w:bookmarkStart w:id="13" w:name="your-right-to-object"/>
      <w:r>
        <w:t>Your Right to Object</w:t>
      </w:r>
    </w:p>
    <w:p w14:paraId="1D70F284">
      <w:pPr>
        <w:pStyle w:val="23"/>
      </w:pPr>
      <w:r>
        <w:t xml:space="preserve">You have an </w:t>
      </w:r>
      <w:r>
        <w:rPr>
          <w:b/>
          <w:bCs/>
        </w:rPr>
        <w:t>absolute right to object at any time</w:t>
      </w:r>
      <w:r>
        <w:t xml:space="preserve"> to:</w:t>
      </w:r>
      <w:r>
        <w:br w:type="textWrapping"/>
      </w:r>
      <w:r>
        <w:t xml:space="preserve">* The processing of your personal data for </w:t>
      </w:r>
      <w:r>
        <w:rPr>
          <w:b/>
          <w:bCs/>
        </w:rPr>
        <w:t>direct marketing purposes</w:t>
      </w:r>
      <w:r>
        <w:t>, including profiling related to direct marketing</w:t>
      </w:r>
    </w:p>
    <w:p w14:paraId="6CA4056C">
      <w:pPr>
        <w:pStyle w:val="3"/>
      </w:pPr>
      <w:r>
        <w:t xml:space="preserve">You also have the right to object to processing where we rely on </w:t>
      </w:r>
      <w:r>
        <w:rPr>
          <w:b/>
          <w:bCs/>
        </w:rPr>
        <w:t>legitimate interests</w:t>
      </w:r>
      <w:r>
        <w:t xml:space="preserve"> as our lawful basis. In such cases, we will stop processing your personal data unless we can demonstrate compelling legitimate grounds which override your interests, rights, and freedoms, or the processing is required for legal claims.</w:t>
      </w:r>
    </w:p>
    <w:p w14:paraId="1882CEBF">
      <w:pPr>
        <w:pStyle w:val="3"/>
      </w:pPr>
      <w:r>
        <w:t>This right to object applies in particular to:</w:t>
      </w:r>
      <w:r>
        <w:br w:type="textWrapping"/>
      </w:r>
      <w:r>
        <w:t>* Business-to-business communications</w:t>
      </w:r>
      <w:r>
        <w:br w:type="textWrapping"/>
      </w:r>
      <w:r>
        <w:t>* Service updates or promotional communications sent on the basis of legitimate interests</w:t>
      </w:r>
    </w:p>
    <w:bookmarkEnd w:id="13"/>
    <w:p w14:paraId="73112C77">
      <w:pPr>
        <w:pStyle w:val="5"/>
      </w:pPr>
      <w:bookmarkStart w:id="14" w:name="how-to-exercise-your-rights"/>
      <w:r>
        <w:t>How to Exercise Your Rights</w:t>
      </w:r>
    </w:p>
    <w:p w14:paraId="6EE252AB">
      <w:pPr>
        <w:pStyle w:val="23"/>
      </w:pPr>
      <w:r>
        <w:t>To exercise any of your data protection rights, including withdrawing consent or the right to object, please contact us using the details below:</w:t>
      </w:r>
      <w:r>
        <w:br w:type="textWrapping"/>
      </w:r>
      <w:r>
        <w:t xml:space="preserve">* </w:t>
      </w:r>
      <w:r>
        <w:rPr>
          <w:b/>
          <w:bCs/>
        </w:rPr>
        <w:t>Email:</w:t>
      </w:r>
      <w:r>
        <w:t xml:space="preserve"> </w:t>
      </w:r>
      <w:r>
        <w:fldChar w:fldCharType="begin"/>
      </w:r>
      <w:r>
        <w:instrText xml:space="preserve"> HYPERLINK "mailto:info@switchforsport.co.uk" \h </w:instrText>
      </w:r>
      <w:r>
        <w:fldChar w:fldCharType="separate"/>
      </w:r>
      <w:r>
        <w:rPr>
          <w:rStyle w:val="20"/>
        </w:rPr>
        <w:t>info@switchforsport.co.uk</w:t>
      </w:r>
      <w:r>
        <w:rPr>
          <w:rStyle w:val="20"/>
        </w:rPr>
        <w:fldChar w:fldCharType="end"/>
      </w:r>
      <w:r>
        <w:br w:type="textWrapping"/>
      </w:r>
    </w:p>
    <w:p w14:paraId="71264E4F">
      <w:pPr>
        <w:pStyle w:val="3"/>
      </w:pPr>
      <w:r>
        <w:t>Please clearly state which right you wish to exercise and provide enough information for us to identify you. We may need to request additional information to verify your identity before responding.</w:t>
      </w:r>
    </w:p>
    <w:p w14:paraId="5C774A6C">
      <w:pPr>
        <w:pStyle w:val="3"/>
      </w:pPr>
      <w:r>
        <w:t>We will respond to all valid requests within one month, unless the request is complex or numerous, in which case we may extend the response period in line with UK GDPR.</w:t>
      </w:r>
    </w:p>
    <w:p w14:paraId="1A11FB9A">
      <w:pPr>
        <w:pStyle w:val="3"/>
      </w:pPr>
      <w:r>
        <w:t xml:space="preserve">You also have the right to lodge a complaint with the </w:t>
      </w:r>
      <w:r>
        <w:rPr>
          <w:b/>
          <w:bCs/>
        </w:rPr>
        <w:t>Information Commissioner’s Office (ICO)</w:t>
      </w:r>
      <w:r>
        <w:t xml:space="preserve"> if you are not satisfied with how we handle your personal data.</w:t>
      </w:r>
    </w:p>
    <w:bookmarkEnd w:id="10"/>
    <w:bookmarkEnd w:id="14"/>
    <w:p w14:paraId="04403774">
      <w:pPr>
        <w:pStyle w:val="4"/>
      </w:pPr>
      <w:bookmarkStart w:id="15" w:name="cookies"/>
      <w:r>
        <w:t>9. Cookies</w:t>
      </w:r>
    </w:p>
    <w:p w14:paraId="55F406F3">
      <w:pPr>
        <w:pStyle w:val="23"/>
      </w:pPr>
      <w:r>
        <w:t>We use cookies and similar technologies for analytics and to improve user experience. You can manage your preferences through your browser settings or via our cookie banner.</w:t>
      </w:r>
    </w:p>
    <w:bookmarkEnd w:id="15"/>
    <w:p w14:paraId="537EFED7">
      <w:pPr>
        <w:pStyle w:val="4"/>
      </w:pPr>
      <w:bookmarkStart w:id="16" w:name="security"/>
      <w:r>
        <w:t>10. Security</w:t>
      </w:r>
    </w:p>
    <w:p w14:paraId="698BA315">
      <w:pPr>
        <w:pStyle w:val="23"/>
      </w:pPr>
      <w:r>
        <w:t>We take appropriate technical and organisational measures to protect personal data against unauthorised access, loss, or misuse.</w:t>
      </w:r>
    </w:p>
    <w:bookmarkEnd w:id="16"/>
    <w:p w14:paraId="64A99990">
      <w:pPr>
        <w:pStyle w:val="4"/>
      </w:pPr>
      <w:bookmarkStart w:id="17" w:name="updates-to-this-policy"/>
      <w:r>
        <w:t>11. Updates to This Policy</w:t>
      </w:r>
    </w:p>
    <w:p w14:paraId="6A7C1024">
      <w:pPr>
        <w:pStyle w:val="23"/>
      </w:pPr>
      <w:r>
        <w:t>We may update this Privacy Policy from time to time. Any changes will be posted on our website.</w:t>
      </w:r>
    </w:p>
    <w:bookmarkEnd w:id="17"/>
    <w:p w14:paraId="3E1B0745">
      <w:pPr>
        <w:pStyle w:val="4"/>
      </w:pPr>
      <w:bookmarkStart w:id="18" w:name="contact-us"/>
      <w:r>
        <w:t>12. Contact Us</w:t>
      </w:r>
    </w:p>
    <w:p w14:paraId="584313F5">
      <w:pPr>
        <w:pStyle w:val="23"/>
      </w:pPr>
      <w:r>
        <w:t xml:space="preserve">If you have any questions about this Privacy Policy or how we process personal data, please contact us at </w:t>
      </w:r>
      <w:r>
        <w:fldChar w:fldCharType="begin"/>
      </w:r>
      <w:r>
        <w:instrText xml:space="preserve"> HYPERLINK "mailto:info@switchforsport.co.uk" \h </w:instrText>
      </w:r>
      <w:r>
        <w:fldChar w:fldCharType="separate"/>
      </w:r>
      <w:r>
        <w:rPr>
          <w:rStyle w:val="20"/>
          <w:b/>
          <w:bCs/>
        </w:rPr>
        <w:t>info@switchforsport.co.uk</w:t>
      </w:r>
      <w:r>
        <w:rPr>
          <w:rStyle w:val="20"/>
          <w:b/>
          <w:bCs/>
        </w:rPr>
        <w:fldChar w:fldCharType="end"/>
      </w:r>
      <w:r>
        <w:t>.</w:t>
      </w:r>
    </w:p>
    <w:bookmarkEnd w:id="0"/>
    <w:bookmarkEnd w:id="18"/>
    <w:sectPr>
      <w:footnotePr>
        <w:numRestart w:val="eachSect"/>
      </w:footnote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Aptos">
    <w:altName w:val="Helvetica Neue"/>
    <w:panose1 w:val="020B0004020202020204"/>
    <w:charset w:val="86"/>
    <w:family w:val="swiss"/>
    <w:pitch w:val="default"/>
    <w:sig w:usb0="00000000" w:usb1="00000000" w:usb2="00000000" w:usb3="00000000" w:csb0="0000019F" w:csb1="00000000"/>
  </w:font>
  <w:font w:name="Aptos">
    <w:altName w:val="Helvetica Neue"/>
    <w:panose1 w:val="00000000000000000000"/>
    <w:charset w:val="86"/>
    <w:family w:val="auto"/>
    <w:pitch w:val="default"/>
    <w:sig w:usb0="00000000" w:usb1="00000000" w:usb2="00000000" w:usb3="00000000" w:csb0="00000000" w:csb1="00000000"/>
  </w:font>
  <w:font w:name="Aptos">
    <w:altName w:val="Helvetica Neue"/>
    <w:panose1 w:val="00000000000000000000"/>
    <w:charset w:val="00"/>
    <w:family w:val="auto"/>
    <w:pitch w:val="default"/>
    <w:sig w:usb0="00000000" w:usb1="00000000" w:usb2="00000000" w:usb3="00000000" w:csb0="00000000" w:csb1="00000000"/>
  </w:font>
  <w:font w:name="Aptos Display">
    <w:altName w:val="Helvetica Neue"/>
    <w:panose1 w:val="020B0004020202020204"/>
    <w:charset w:val="00"/>
    <w:family w:val="swiss"/>
    <w:pitch w:val="default"/>
    <w:sig w:usb0="00000000" w:usb1="00000000" w:usb2="00000000" w:usb3="00000000" w:csb0="0000019F" w:csb1="00000000"/>
  </w:font>
  <w:font w:name="等线 Light">
    <w:altName w:val="宋体-简"/>
    <w:panose1 w:val="00000000000000000000"/>
    <w:charset w:val="00"/>
    <w:family w:val="auto"/>
    <w:pitch w:val="default"/>
    <w:sig w:usb0="00000000" w:usb1="00000000" w:usb2="00000000" w:usb3="00000000" w:csb0="00000000" w:csb1="00000000"/>
  </w:font>
  <w:font w:name="Consolas">
    <w:altName w:val="苹方-简"/>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SimSun">
    <w:altName w:val="宋体-简"/>
    <w:panose1 w:val="02010600030101010101"/>
    <w:charset w:val="86"/>
    <w:family w:val="roman"/>
    <w:pitch w:val="variable"/>
    <w:sig w:usb0="00000003" w:usb1="288F0000" w:usb2="00000016" w:usb3="00000000" w:csb0="00040001" w:csb1="00000000"/>
  </w:font>
  <w:font w:name="Helvetica">
    <w:panose1 w:val="00000000000000000000"/>
    <w:charset w:val="00"/>
    <w:family w:val="auto"/>
    <w:pitch w:val="default"/>
    <w:sig w:usb0="E00002FF" w:usb1="5000785B" w:usb2="00000000" w:usb3="00000000" w:csb0="2000019F" w:csb1="4F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numRestart w:val="eachSect"/>
    <w:footnote w:id="0"/>
    <w:footnote w:id="1"/>
  </w:foot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FF1B74"/>
    <w:rsid w:val="A7AC2CB7"/>
    <w:rsid w:val="BFEE5C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1"/>
    <w:basedOn w:val="1"/>
    <w:next w:val="3"/>
    <w:link w:val="31"/>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4">
    <w:name w:val="heading 2"/>
    <w:basedOn w:val="1"/>
    <w:next w:val="3"/>
    <w:link w:val="3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5">
    <w:name w:val="heading 3"/>
    <w:basedOn w:val="1"/>
    <w:next w:val="3"/>
    <w:link w:val="33"/>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6">
    <w:name w:val="heading 4"/>
    <w:basedOn w:val="1"/>
    <w:next w:val="3"/>
    <w:link w:val="34"/>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7">
    <w:name w:val="heading 5"/>
    <w:basedOn w:val="1"/>
    <w:next w:val="3"/>
    <w:link w:val="35"/>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8">
    <w:name w:val="heading 6"/>
    <w:basedOn w:val="1"/>
    <w:next w:val="3"/>
    <w:link w:val="36"/>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9">
    <w:name w:val="heading 7"/>
    <w:basedOn w:val="1"/>
    <w:next w:val="3"/>
    <w:link w:val="37"/>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10">
    <w:name w:val="heading 8"/>
    <w:basedOn w:val="1"/>
    <w:next w:val="3"/>
    <w:link w:val="38"/>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1">
    <w:name w:val="heading 9"/>
    <w:basedOn w:val="1"/>
    <w:next w:val="3"/>
    <w:link w:val="39"/>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2">
    <w:name w:val="Default Paragraph Font"/>
    <w:semiHidden/>
    <w:unhideWhenUsed/>
    <w:uiPriority w:val="0"/>
  </w:style>
  <w:style w:type="table" w:default="1" w:styleId="13">
    <w:name w:val="Normal Table"/>
    <w:uiPriority w:val="0"/>
    <w:tblPr>
      <w:tblCellMar>
        <w:top w:w="0" w:type="dxa"/>
        <w:left w:w="108" w:type="dxa"/>
        <w:bottom w:w="0" w:type="dxa"/>
        <w:right w:w="108" w:type="dxa"/>
      </w:tblCellMar>
    </w:tblPr>
  </w:style>
  <w:style w:type="paragraph" w:styleId="3">
    <w:name w:val="Body Text"/>
    <w:basedOn w:val="1"/>
    <w:link w:val="18"/>
    <w:qFormat/>
    <w:uiPriority w:val="0"/>
    <w:pPr>
      <w:spacing w:before="180" w:after="180"/>
    </w:pPr>
  </w:style>
  <w:style w:type="paragraph" w:styleId="14">
    <w:name w:val="Block Text"/>
    <w:basedOn w:val="3"/>
    <w:next w:val="3"/>
    <w:unhideWhenUsed/>
    <w:qFormat/>
    <w:uiPriority w:val="9"/>
    <w:pPr>
      <w:spacing w:before="100" w:after="100"/>
      <w:ind w:left="480" w:right="480" w:firstLine="0"/>
    </w:pPr>
  </w:style>
  <w:style w:type="paragraph" w:styleId="15">
    <w:name w:val="caption"/>
    <w:basedOn w:val="1"/>
    <w:uiPriority w:val="0"/>
    <w:pPr>
      <w:spacing w:before="0" w:after="120"/>
    </w:pPr>
    <w:rPr>
      <w:i/>
    </w:rPr>
  </w:style>
  <w:style w:type="paragraph" w:styleId="16">
    <w:name w:val="Date"/>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character" w:styleId="17">
    <w:name w:val="footnote reference"/>
    <w:basedOn w:val="18"/>
    <w:uiPriority w:val="0"/>
    <w:rPr>
      <w:vertAlign w:val="superscript"/>
    </w:rPr>
  </w:style>
  <w:style w:type="character" w:customStyle="1" w:styleId="18">
    <w:name w:val="Body Text Char"/>
    <w:basedOn w:val="12"/>
    <w:link w:val="3"/>
    <w:uiPriority w:val="0"/>
  </w:style>
  <w:style w:type="paragraph" w:styleId="19">
    <w:name w:val="footnote text"/>
    <w:basedOn w:val="1"/>
    <w:unhideWhenUsed/>
    <w:qFormat/>
    <w:uiPriority w:val="9"/>
  </w:style>
  <w:style w:type="character" w:styleId="20">
    <w:name w:val="Hyperlink"/>
    <w:basedOn w:val="18"/>
    <w:uiPriority w:val="0"/>
    <w:rPr>
      <w:color w:val="156082" w:themeColor="accent1"/>
      <w14:textFill>
        <w14:solidFill>
          <w14:schemeClr w14:val="accent1"/>
        </w14:solidFill>
      </w14:textFill>
    </w:rPr>
  </w:style>
  <w:style w:type="paragraph" w:styleId="21">
    <w:name w:val="Subtitle"/>
    <w:basedOn w:val="22"/>
    <w:next w:val="3"/>
    <w:link w:val="26"/>
    <w:qFormat/>
    <w:uiPriority w:val="11"/>
    <w:rPr>
      <w:rFonts w:eastAsiaTheme="majorEastAsia" w:cstheme="majorBidi"/>
      <w:spacing w:val="15"/>
      <w:sz w:val="28"/>
      <w:szCs w:val="28"/>
    </w:rPr>
  </w:style>
  <w:style w:type="paragraph" w:styleId="22">
    <w:name w:val="Title"/>
    <w:basedOn w:val="1"/>
    <w:next w:val="3"/>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character" w:customStyle="1" w:styleId="25">
    <w:name w:val="Title Char"/>
    <w:basedOn w:val="12"/>
    <w:link w:val="22"/>
    <w:uiPriority w:val="10"/>
    <w:rPr>
      <w:rFonts w:asciiTheme="majorHAnsi" w:hAnsiTheme="majorHAnsi" w:eastAsiaTheme="majorEastAsia" w:cstheme="majorBidi"/>
      <w:spacing w:val="-10"/>
      <w:kern w:val="28"/>
      <w:sz w:val="56"/>
      <w:szCs w:val="56"/>
    </w:rPr>
  </w:style>
  <w:style w:type="character" w:customStyle="1" w:styleId="26">
    <w:name w:val="Subtitle Char"/>
    <w:basedOn w:val="12"/>
    <w:link w:val="21"/>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customStyle="1" w:styleId="27">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28">
    <w:name w:val="Abstract Title"/>
    <w:basedOn w:val="1"/>
    <w:next w:val="29"/>
    <w:qFormat/>
    <w:uiPriority w:val="0"/>
    <w:pPr>
      <w:keepNext/>
      <w:keepLines/>
      <w:spacing w:before="300" w:after="0"/>
      <w:jc w:val="center"/>
    </w:pPr>
    <w:rPr>
      <w:b/>
      <w:sz w:val="20"/>
      <w:szCs w:val="20"/>
    </w:rPr>
  </w:style>
  <w:style w:type="paragraph" w:customStyle="1" w:styleId="29">
    <w:name w:val="Abstract"/>
    <w:basedOn w:val="1"/>
    <w:next w:val="3"/>
    <w:qFormat/>
    <w:uiPriority w:val="0"/>
    <w:pPr>
      <w:keepNext/>
      <w:keepLines/>
      <w:spacing w:before="100" w:after="300"/>
    </w:pPr>
    <w:rPr>
      <w:sz w:val="20"/>
      <w:szCs w:val="20"/>
    </w:rPr>
  </w:style>
  <w:style w:type="paragraph" w:customStyle="1" w:styleId="30">
    <w:name w:val="Bibliography"/>
    <w:basedOn w:val="1"/>
    <w:qFormat/>
    <w:uiPriority w:val="0"/>
  </w:style>
  <w:style w:type="character" w:customStyle="1" w:styleId="31">
    <w:name w:val="Heading 1 Char"/>
    <w:basedOn w:val="12"/>
    <w:link w:val="2"/>
    <w:uiPriority w:val="9"/>
    <w:rPr>
      <w:rFonts w:asciiTheme="majorHAnsi" w:hAnsiTheme="majorHAnsi" w:eastAsiaTheme="majorEastAsia" w:cstheme="majorBidi"/>
      <w:color w:val="104862" w:themeColor="accent1" w:themeShade="BF"/>
      <w:sz w:val="40"/>
      <w:szCs w:val="40"/>
    </w:rPr>
  </w:style>
  <w:style w:type="character" w:customStyle="1" w:styleId="32">
    <w:name w:val="Heading 2 Char"/>
    <w:basedOn w:val="12"/>
    <w:link w:val="4"/>
    <w:semiHidden/>
    <w:uiPriority w:val="9"/>
    <w:rPr>
      <w:rFonts w:asciiTheme="majorHAnsi" w:hAnsiTheme="majorHAnsi" w:eastAsiaTheme="majorEastAsia" w:cstheme="majorBidi"/>
      <w:color w:val="104862" w:themeColor="accent1" w:themeShade="BF"/>
      <w:sz w:val="32"/>
      <w:szCs w:val="32"/>
    </w:rPr>
  </w:style>
  <w:style w:type="character" w:customStyle="1" w:styleId="33">
    <w:name w:val="Heading 3 Char"/>
    <w:basedOn w:val="12"/>
    <w:link w:val="5"/>
    <w:semiHidden/>
    <w:uiPriority w:val="9"/>
    <w:rPr>
      <w:rFonts w:eastAsiaTheme="majorEastAsia" w:cstheme="majorBidi"/>
      <w:color w:val="104862" w:themeColor="accent1" w:themeShade="BF"/>
      <w:sz w:val="28"/>
      <w:szCs w:val="28"/>
    </w:rPr>
  </w:style>
  <w:style w:type="character" w:customStyle="1" w:styleId="34">
    <w:name w:val="Heading 4 Char"/>
    <w:basedOn w:val="12"/>
    <w:link w:val="6"/>
    <w:semiHidden/>
    <w:uiPriority w:val="9"/>
    <w:rPr>
      <w:rFonts w:eastAsiaTheme="majorEastAsia" w:cstheme="majorBidi"/>
      <w:i/>
      <w:iCs/>
      <w:color w:val="104862" w:themeColor="accent1" w:themeShade="BF"/>
    </w:rPr>
  </w:style>
  <w:style w:type="character" w:customStyle="1" w:styleId="35">
    <w:name w:val="Heading 5 Char"/>
    <w:basedOn w:val="12"/>
    <w:link w:val="7"/>
    <w:semiHidden/>
    <w:uiPriority w:val="9"/>
    <w:rPr>
      <w:rFonts w:eastAsiaTheme="majorEastAsia" w:cstheme="majorBidi"/>
      <w:color w:val="104862" w:themeColor="accent1" w:themeShade="BF"/>
    </w:rPr>
  </w:style>
  <w:style w:type="character" w:customStyle="1" w:styleId="36">
    <w:name w:val="Heading 6 Char"/>
    <w:basedOn w:val="12"/>
    <w:link w:val="8"/>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37">
    <w:name w:val="Heading 7 Char"/>
    <w:basedOn w:val="12"/>
    <w:link w:val="9"/>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8">
    <w:name w:val="Heading 8 Char"/>
    <w:basedOn w:val="12"/>
    <w:link w:val="10"/>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39">
    <w:name w:val="Heading 9 Char"/>
    <w:basedOn w:val="12"/>
    <w:link w:val="11"/>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paragraph" w:customStyle="1" w:styleId="40">
    <w:name w:val="Footnote Block Text"/>
    <w:basedOn w:val="19"/>
    <w:next w:val="19"/>
    <w:unhideWhenUsed/>
    <w:qFormat/>
    <w:uiPriority w:val="9"/>
    <w:pPr>
      <w:spacing w:before="100" w:after="100"/>
      <w:ind w:left="480" w:right="480" w:firstLine="0"/>
    </w:pPr>
  </w:style>
  <w:style w:type="table" w:customStyle="1" w:styleId="41">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2">
    <w:name w:val="Definition Term"/>
    <w:basedOn w:val="1"/>
    <w:next w:val="43"/>
    <w:uiPriority w:val="0"/>
    <w:pPr>
      <w:keepNext/>
      <w:keepLines/>
      <w:spacing w:after="0"/>
    </w:pPr>
    <w:rPr>
      <w:b/>
    </w:rPr>
  </w:style>
  <w:style w:type="paragraph" w:customStyle="1" w:styleId="43">
    <w:name w:val="Definition"/>
    <w:basedOn w:val="1"/>
    <w:uiPriority w:val="0"/>
  </w:style>
  <w:style w:type="paragraph" w:customStyle="1" w:styleId="44">
    <w:name w:val="Table Caption"/>
    <w:basedOn w:val="15"/>
    <w:uiPriority w:val="0"/>
    <w:pPr>
      <w:keepNext/>
    </w:pPr>
  </w:style>
  <w:style w:type="paragraph" w:customStyle="1" w:styleId="45">
    <w:name w:val="Image Caption"/>
    <w:basedOn w:val="15"/>
    <w:uiPriority w:val="0"/>
  </w:style>
  <w:style w:type="paragraph" w:customStyle="1" w:styleId="46">
    <w:name w:val="Figure"/>
    <w:basedOn w:val="1"/>
    <w:uiPriority w:val="0"/>
  </w:style>
  <w:style w:type="paragraph" w:customStyle="1" w:styleId="47">
    <w:name w:val="Captioned Figure"/>
    <w:basedOn w:val="46"/>
    <w:uiPriority w:val="0"/>
    <w:pPr>
      <w:keepNext/>
    </w:pPr>
  </w:style>
  <w:style w:type="character" w:customStyle="1" w:styleId="48">
    <w:name w:val="Verbatim Char"/>
    <w:basedOn w:val="18"/>
    <w:link w:val="49"/>
    <w:uiPriority w:val="0"/>
    <w:rPr>
      <w:rFonts w:ascii="Consolas" w:hAnsi="Consolas"/>
      <w:sz w:val="22"/>
    </w:rPr>
  </w:style>
  <w:style w:type="paragraph" w:customStyle="1" w:styleId="49">
    <w:name w:val="Source Code"/>
    <w:basedOn w:val="1"/>
    <w:link w:val="48"/>
    <w:uiPriority w:val="0"/>
    <w:pPr>
      <w:wordWrap w:val="0"/>
    </w:pPr>
  </w:style>
  <w:style w:type="character" w:customStyle="1" w:styleId="50">
    <w:name w:val="Section Number"/>
    <w:basedOn w:val="18"/>
    <w:uiPriority w:val="0"/>
  </w:style>
  <w:style w:type="paragraph" w:customStyle="1" w:styleId="51">
    <w:name w:val="TOC Heading"/>
    <w:basedOn w:val="2"/>
    <w:next w:val="3"/>
    <w:unhideWhenUsed/>
    <w:qFormat/>
    <w:uiPriority w:val="39"/>
    <w:pPr>
      <w:spacing w:before="240" w:line="259" w:lineRule="auto"/>
      <w:outlineLvl w:val="9"/>
    </w:pPr>
    <w:rPr>
      <w:rFonts w:asciiTheme="majorHAnsi" w:hAnsiTheme="majorHAnsi" w:eastAsiaTheme="majorEastAsia" w:cstheme="majorBidi"/>
      <w:color w:val="104862" w:themeColor="accent1" w:themeShade="BF"/>
    </w:rPr>
  </w:style>
  <w:style w:type="character" w:customStyle="1" w:styleId="52">
    <w:name w:val="KeywordTok"/>
    <w:basedOn w:val="48"/>
    <w:uiPriority w:val="0"/>
    <w:rPr>
      <w:b/>
      <w:color w:val="007020"/>
    </w:rPr>
  </w:style>
  <w:style w:type="character" w:customStyle="1" w:styleId="53">
    <w:name w:val="DataTypeTok"/>
    <w:basedOn w:val="48"/>
    <w:uiPriority w:val="0"/>
    <w:rPr>
      <w:color w:val="902000"/>
    </w:rPr>
  </w:style>
  <w:style w:type="character" w:customStyle="1" w:styleId="54">
    <w:name w:val="DecValTok"/>
    <w:basedOn w:val="48"/>
    <w:uiPriority w:val="0"/>
    <w:rPr>
      <w:color w:val="40A070"/>
    </w:rPr>
  </w:style>
  <w:style w:type="character" w:customStyle="1" w:styleId="55">
    <w:name w:val="BaseNTok"/>
    <w:basedOn w:val="48"/>
    <w:uiPriority w:val="0"/>
    <w:rPr>
      <w:color w:val="40A070"/>
    </w:rPr>
  </w:style>
  <w:style w:type="character" w:customStyle="1" w:styleId="56">
    <w:name w:val="FloatTok"/>
    <w:basedOn w:val="48"/>
    <w:uiPriority w:val="0"/>
    <w:rPr>
      <w:color w:val="40A070"/>
    </w:rPr>
  </w:style>
  <w:style w:type="character" w:customStyle="1" w:styleId="57">
    <w:name w:val="ConstantTok"/>
    <w:basedOn w:val="48"/>
    <w:uiPriority w:val="0"/>
    <w:rPr>
      <w:color w:val="880000"/>
    </w:rPr>
  </w:style>
  <w:style w:type="character" w:customStyle="1" w:styleId="58">
    <w:name w:val="CharTok"/>
    <w:basedOn w:val="48"/>
    <w:uiPriority w:val="0"/>
    <w:rPr>
      <w:color w:val="4070A0"/>
    </w:rPr>
  </w:style>
  <w:style w:type="character" w:customStyle="1" w:styleId="59">
    <w:name w:val="SpecialCharTok"/>
    <w:basedOn w:val="48"/>
    <w:uiPriority w:val="0"/>
    <w:rPr>
      <w:color w:val="4070A0"/>
    </w:rPr>
  </w:style>
  <w:style w:type="character" w:customStyle="1" w:styleId="60">
    <w:name w:val="StringTok"/>
    <w:basedOn w:val="48"/>
    <w:uiPriority w:val="0"/>
    <w:rPr>
      <w:color w:val="4070A0"/>
    </w:rPr>
  </w:style>
  <w:style w:type="character" w:customStyle="1" w:styleId="61">
    <w:name w:val="VerbatimStringTok"/>
    <w:basedOn w:val="48"/>
    <w:uiPriority w:val="0"/>
    <w:rPr>
      <w:color w:val="4070A0"/>
    </w:rPr>
  </w:style>
  <w:style w:type="character" w:customStyle="1" w:styleId="62">
    <w:name w:val="SpecialStringTok"/>
    <w:basedOn w:val="48"/>
    <w:uiPriority w:val="0"/>
    <w:rPr>
      <w:color w:val="BB6688"/>
    </w:rPr>
  </w:style>
  <w:style w:type="character" w:customStyle="1" w:styleId="63">
    <w:name w:val="ImportTok"/>
    <w:basedOn w:val="48"/>
    <w:uiPriority w:val="0"/>
    <w:rPr>
      <w:b/>
      <w:color w:val="008000"/>
    </w:rPr>
  </w:style>
  <w:style w:type="character" w:customStyle="1" w:styleId="64">
    <w:name w:val="CommentTok"/>
    <w:basedOn w:val="48"/>
    <w:uiPriority w:val="0"/>
    <w:rPr>
      <w:i/>
      <w:color w:val="60A0B0"/>
    </w:rPr>
  </w:style>
  <w:style w:type="character" w:customStyle="1" w:styleId="65">
    <w:name w:val="DocumentationTok"/>
    <w:basedOn w:val="48"/>
    <w:uiPriority w:val="0"/>
    <w:rPr>
      <w:i/>
      <w:color w:val="BA2121"/>
    </w:rPr>
  </w:style>
  <w:style w:type="character" w:customStyle="1" w:styleId="66">
    <w:name w:val="AnnotationTok"/>
    <w:basedOn w:val="48"/>
    <w:uiPriority w:val="0"/>
    <w:rPr>
      <w:b/>
      <w:i/>
      <w:color w:val="60A0B0"/>
    </w:rPr>
  </w:style>
  <w:style w:type="character" w:customStyle="1" w:styleId="67">
    <w:name w:val="CommentVarTok"/>
    <w:basedOn w:val="48"/>
    <w:uiPriority w:val="0"/>
    <w:rPr>
      <w:b/>
      <w:i/>
      <w:color w:val="60A0B0"/>
    </w:rPr>
  </w:style>
  <w:style w:type="character" w:customStyle="1" w:styleId="68">
    <w:name w:val="OtherTok"/>
    <w:basedOn w:val="48"/>
    <w:uiPriority w:val="0"/>
    <w:rPr>
      <w:color w:val="007020"/>
    </w:rPr>
  </w:style>
  <w:style w:type="character" w:customStyle="1" w:styleId="69">
    <w:name w:val="FunctionTok"/>
    <w:basedOn w:val="48"/>
    <w:uiPriority w:val="0"/>
    <w:rPr>
      <w:color w:val="06287E"/>
    </w:rPr>
  </w:style>
  <w:style w:type="character" w:customStyle="1" w:styleId="70">
    <w:name w:val="VariableTok"/>
    <w:basedOn w:val="48"/>
    <w:uiPriority w:val="0"/>
    <w:rPr>
      <w:color w:val="19177C"/>
    </w:rPr>
  </w:style>
  <w:style w:type="character" w:customStyle="1" w:styleId="71">
    <w:name w:val="ControlFlowTok"/>
    <w:basedOn w:val="48"/>
    <w:uiPriority w:val="0"/>
    <w:rPr>
      <w:b/>
      <w:color w:val="007020"/>
    </w:rPr>
  </w:style>
  <w:style w:type="character" w:customStyle="1" w:styleId="72">
    <w:name w:val="OperatorTok"/>
    <w:basedOn w:val="48"/>
    <w:uiPriority w:val="0"/>
    <w:rPr>
      <w:color w:val="666666"/>
    </w:rPr>
  </w:style>
  <w:style w:type="character" w:customStyle="1" w:styleId="73">
    <w:name w:val="BuiltInTok"/>
    <w:basedOn w:val="48"/>
    <w:uiPriority w:val="0"/>
    <w:rPr>
      <w:color w:val="008000"/>
    </w:rPr>
  </w:style>
  <w:style w:type="character" w:customStyle="1" w:styleId="74">
    <w:name w:val="ExtensionTok"/>
    <w:basedOn w:val="48"/>
    <w:uiPriority w:val="0"/>
  </w:style>
  <w:style w:type="character" w:customStyle="1" w:styleId="75">
    <w:name w:val="PreprocessorTok"/>
    <w:basedOn w:val="48"/>
    <w:uiPriority w:val="0"/>
    <w:rPr>
      <w:color w:val="BC7A00"/>
    </w:rPr>
  </w:style>
  <w:style w:type="character" w:customStyle="1" w:styleId="76">
    <w:name w:val="AttributeTok"/>
    <w:basedOn w:val="48"/>
    <w:uiPriority w:val="0"/>
    <w:rPr>
      <w:color w:val="7D9029"/>
    </w:rPr>
  </w:style>
  <w:style w:type="character" w:customStyle="1" w:styleId="77">
    <w:name w:val="RegionMarkerTok"/>
    <w:basedOn w:val="48"/>
    <w:uiPriority w:val="0"/>
  </w:style>
  <w:style w:type="character" w:customStyle="1" w:styleId="78">
    <w:name w:val="InformationTok"/>
    <w:basedOn w:val="48"/>
    <w:uiPriority w:val="0"/>
    <w:rPr>
      <w:b/>
      <w:i/>
      <w:color w:val="60A0B0"/>
    </w:rPr>
  </w:style>
  <w:style w:type="character" w:customStyle="1" w:styleId="79">
    <w:name w:val="WarningTok"/>
    <w:basedOn w:val="48"/>
    <w:uiPriority w:val="0"/>
    <w:rPr>
      <w:b/>
      <w:i/>
      <w:color w:val="60A0B0"/>
    </w:rPr>
  </w:style>
  <w:style w:type="character" w:customStyle="1" w:styleId="80">
    <w:name w:val="AlertTok"/>
    <w:basedOn w:val="48"/>
    <w:uiPriority w:val="0"/>
    <w:rPr>
      <w:b/>
      <w:color w:val="FF0000"/>
    </w:rPr>
  </w:style>
  <w:style w:type="character" w:customStyle="1" w:styleId="81">
    <w:name w:val="ErrorTok"/>
    <w:basedOn w:val="48"/>
    <w:uiPriority w:val="0"/>
    <w:rPr>
      <w:b/>
      <w:color w:val="FF0000"/>
    </w:rPr>
  </w:style>
  <w:style w:type="character" w:customStyle="1" w:styleId="82">
    <w:name w:val="NormalTok"/>
    <w:basedOn w:val="48"/>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83</Words>
  <Characters>475</Characters>
  <Lines>12</Lines>
  <Paragraphs>8</Paragraphs>
  <TotalTime>542</TotalTime>
  <ScaleCrop>false</ScaleCrop>
  <LinksUpToDate>false</LinksUpToDate>
  <CharactersWithSpaces>583</CharactersWithSpaces>
  <Application>WPS Office_6.12.1.8654_F1E327BC-269C-435d-A152-05C5408002CA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2026-01-12T22:37:00Z</dcterms:created>
  <dc:creator>jonny</dc:creator>
  <cp:lastModifiedBy>jonny</cp:lastModifiedBy>
  <dcterms:modified xsi:type="dcterms:W3CDTF">2026-02-11T10:30:25Z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1033-6.12.1.8654</vt:lpwstr>
  </property>
  <property fmtid="{D5CDD505-2E9C-101B-9397-08002B2CF9AE}" pid="3" name="ICV">
    <vt:lpwstr>DDBAC7DE9275710BE7136669C5136C0B_43</vt:lpwstr>
  </property>
</Properties>
</file>